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85" w:rsidRDefault="00E52EE0" w:rsidP="00C268E4">
      <w:pPr>
        <w:spacing w:after="34" w:line="257" w:lineRule="auto"/>
        <w:ind w:left="7938" w:hanging="283"/>
        <w:jc w:val="left"/>
      </w:pPr>
      <w:r>
        <w:rPr>
          <w:b/>
          <w:color w:val="7CA1D4"/>
          <w:sz w:val="18"/>
        </w:rPr>
        <w:t>Obec Blížejov</w:t>
      </w:r>
      <w:r w:rsidR="00993380">
        <w:rPr>
          <w:b/>
          <w:color w:val="7CA1D4"/>
          <w:sz w:val="18"/>
        </w:rPr>
        <w:t xml:space="preserve"> </w:t>
      </w:r>
      <w:r>
        <w:rPr>
          <w:b/>
          <w:color w:val="7CA1D4"/>
          <w:sz w:val="18"/>
        </w:rPr>
        <w:t xml:space="preserve">    </w:t>
      </w:r>
      <w:proofErr w:type="spellStart"/>
      <w:r>
        <w:rPr>
          <w:sz w:val="18"/>
        </w:rPr>
        <w:t>Blížejov</w:t>
      </w:r>
      <w:proofErr w:type="spellEnd"/>
      <w:r>
        <w:rPr>
          <w:sz w:val="18"/>
        </w:rPr>
        <w:t xml:space="preserve"> 151</w:t>
      </w:r>
      <w:r w:rsidR="00993380">
        <w:rPr>
          <w:sz w:val="18"/>
        </w:rPr>
        <w:t xml:space="preserve"> </w:t>
      </w:r>
    </w:p>
    <w:p w:rsidR="00F45385" w:rsidRDefault="00E52EE0" w:rsidP="00C268E4">
      <w:pPr>
        <w:spacing w:after="715" w:line="263" w:lineRule="auto"/>
        <w:ind w:left="7725" w:right="-423" w:hanging="779"/>
        <w:jc w:val="left"/>
      </w:pPr>
      <w:r>
        <w:rPr>
          <w:sz w:val="18"/>
        </w:rPr>
        <w:t xml:space="preserve"> 346 01 Horšovský Týn</w:t>
      </w:r>
      <w:r w:rsidR="00993380">
        <w:rPr>
          <w:sz w:val="18"/>
        </w:rPr>
        <w:t xml:space="preserve"> IČO </w:t>
      </w:r>
      <w:r>
        <w:rPr>
          <w:sz w:val="18"/>
        </w:rPr>
        <w:t>00253243</w:t>
      </w:r>
      <w:r w:rsidR="00993380">
        <w:rPr>
          <w:sz w:val="18"/>
        </w:rPr>
        <w:t xml:space="preserve"> </w:t>
      </w:r>
    </w:p>
    <w:p w:rsidR="00F45385" w:rsidRDefault="00993380">
      <w:pPr>
        <w:pStyle w:val="Nadpis1"/>
      </w:pPr>
      <w:r>
        <w:t xml:space="preserve">Přijetí požadavku na plnění práv subjektu údajů </w:t>
      </w: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</w:pPr>
            <w: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45385" w:rsidRPr="00C268E4" w:rsidRDefault="00993380">
      <w:pPr>
        <w:spacing w:after="290" w:line="331" w:lineRule="auto"/>
        <w:ind w:left="-5"/>
        <w:rPr>
          <w:sz w:val="20"/>
        </w:rPr>
      </w:pPr>
      <w:r w:rsidRPr="00C268E4">
        <w:rPr>
          <w:sz w:val="20"/>
        </w:rPr>
        <w:t xml:space="preserve">Žádá o uplatnění svých práv v souladu se zákonem č. 101/2000 Sb., o ochraně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Odvolání souhlasu 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Přístup k osobním údajům 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Právo na opravu 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Právo na výmaz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9887825</wp:posOffset>
                </wp:positionV>
                <wp:extent cx="5772150" cy="9525"/>
                <wp:effectExtent l="0" t="0" r="0" b="0"/>
                <wp:wrapTopAndBottom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772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0" h="9525">
                                <a:moveTo>
                                  <a:pt x="0" y="9525"/>
                                </a:moveTo>
                                <a:lnTo>
                                  <a:pt x="57721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DB3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454.5pt;height:0.75pt;position:absolute;mso-position-horizontal-relative:page;mso-position-horizontal:absolute;margin-left:69.75pt;mso-position-vertical-relative:page;margin-top:778.569pt;" coordsize="57721,95">
                <v:shape id="Shape 19" style="position:absolute;width:57721;height:95;left:0;top:0;" coordsize="5772150,9525" path="m0,9525l5772150,0">
                  <v:stroke weight="0.75pt" endcap="flat" joinstyle="round" on="true" color="#8db3e1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C268E4">
        <w:rPr>
          <w:sz w:val="20"/>
        </w:rPr>
        <w:t xml:space="preserve">Právo na omezení zpracování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Právo na přenositelnost údajů </w:t>
      </w:r>
    </w:p>
    <w:p w:rsidR="00F45385" w:rsidRPr="00C268E4" w:rsidRDefault="00993380" w:rsidP="00C268E4">
      <w:pPr>
        <w:spacing w:after="0" w:line="240" w:lineRule="auto"/>
        <w:ind w:left="731" w:hanging="11"/>
        <w:rPr>
          <w:sz w:val="20"/>
        </w:rPr>
      </w:pPr>
      <w:r w:rsidRPr="00C268E4">
        <w:rPr>
          <w:sz w:val="20"/>
        </w:rPr>
        <w:t xml:space="preserve">Právo vznést námitku proti zpracování </w:t>
      </w:r>
    </w:p>
    <w:p w:rsidR="00C268E4" w:rsidRDefault="00C268E4">
      <w:pPr>
        <w:ind w:left="-5"/>
      </w:pP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Pr="00C268E4" w:rsidRDefault="00993380">
      <w:pPr>
        <w:spacing w:after="345"/>
        <w:ind w:left="-5"/>
        <w:rPr>
          <w:sz w:val="20"/>
        </w:rPr>
      </w:pPr>
      <w:r w:rsidRPr="00C268E4">
        <w:rPr>
          <w:sz w:val="20"/>
        </w:rPr>
        <w:t xml:space="preserve">…………………………………………………………………………………………………………………………………… </w:t>
      </w:r>
    </w:p>
    <w:p w:rsidR="00F45385" w:rsidRPr="00C268E4" w:rsidRDefault="00993380">
      <w:pPr>
        <w:spacing w:after="414"/>
        <w:ind w:left="-5"/>
        <w:rPr>
          <w:sz w:val="20"/>
        </w:rPr>
      </w:pPr>
      <w:r w:rsidRPr="00C268E4">
        <w:rPr>
          <w:sz w:val="20"/>
        </w:rPr>
        <w:t xml:space="preserve">Tyto osobní údaje budou evidovány po dobu 10 let od vznesení požadavku za účelem ochrany oprávněných zájmů </w:t>
      </w:r>
      <w:r w:rsidR="00FA3B31" w:rsidRPr="00C268E4">
        <w:rPr>
          <w:sz w:val="20"/>
        </w:rPr>
        <w:t>Obce Blížejov</w:t>
      </w:r>
      <w:r w:rsidRPr="00C268E4">
        <w:rPr>
          <w:sz w:val="20"/>
        </w:rPr>
        <w:t xml:space="preserve">. Subjekt údajů může kdykoli uplatnit výše uvedená práva, a to postupem zveřejněným na </w:t>
      </w:r>
      <w:hyperlink r:id="rId4" w:history="1">
        <w:r w:rsidR="00FA3B31" w:rsidRPr="00C268E4">
          <w:rPr>
            <w:rStyle w:val="Hypertextovodkaz"/>
            <w:sz w:val="20"/>
            <w:u w:color="0000FF"/>
          </w:rPr>
          <w:t>www.blizejov.cz</w:t>
        </w:r>
      </w:hyperlink>
      <w:hyperlink r:id="rId5">
        <w:r w:rsidRPr="00C268E4">
          <w:rPr>
            <w:sz w:val="20"/>
          </w:rPr>
          <w:t xml:space="preserve"> </w:t>
        </w:r>
      </w:hyperlink>
      <w:r w:rsidRPr="00C268E4">
        <w:rPr>
          <w:sz w:val="20"/>
        </w:rPr>
        <w:t xml:space="preserve">nebo podat stížnost dozorovému úřadu. </w:t>
      </w:r>
    </w:p>
    <w:p w:rsidR="00F45385" w:rsidRPr="00C268E4" w:rsidRDefault="00993380">
      <w:pPr>
        <w:spacing w:after="103"/>
        <w:ind w:left="-5"/>
        <w:rPr>
          <w:sz w:val="20"/>
        </w:rPr>
      </w:pPr>
      <w:r w:rsidRPr="00C268E4">
        <w:rPr>
          <w:sz w:val="20"/>
        </w:rPr>
        <w:t xml:space="preserve">Totožnost subjektu údajů byla zkontrolována oproti platnému dokladu. </w:t>
      </w:r>
    </w:p>
    <w:p w:rsidR="00F45385" w:rsidRPr="00C268E4" w:rsidRDefault="00993380">
      <w:pPr>
        <w:spacing w:after="1069"/>
        <w:ind w:left="-5"/>
        <w:rPr>
          <w:sz w:val="20"/>
        </w:rPr>
      </w:pPr>
      <w:r w:rsidRPr="00C268E4">
        <w:rPr>
          <w:sz w:val="20"/>
        </w:rPr>
        <w:t xml:space="preserve">ověřil: </w:t>
      </w:r>
    </w:p>
    <w:p w:rsidR="00F45385" w:rsidRDefault="00FA3B31" w:rsidP="00C268E4">
      <w:pPr>
        <w:tabs>
          <w:tab w:val="right" w:pos="9076"/>
        </w:tabs>
        <w:spacing w:after="816"/>
        <w:ind w:left="-15" w:firstLine="0"/>
        <w:jc w:val="left"/>
      </w:pPr>
      <w:r>
        <w:t>Blížejov</w:t>
      </w:r>
      <w:r w:rsidR="00993380">
        <w:t xml:space="preserve"> dne </w:t>
      </w:r>
      <w:r w:rsidR="00993380">
        <w:tab/>
        <w:t>podpis subjektu údajů</w:t>
      </w:r>
      <w:r w:rsidR="00993380">
        <w:rPr>
          <w:sz w:val="20"/>
        </w:rPr>
        <w:t xml:space="preserve"> </w:t>
      </w:r>
      <w:bookmarkStart w:id="0" w:name="_GoBack"/>
      <w:bookmarkEnd w:id="0"/>
    </w:p>
    <w:sectPr w:rsidR="00F45385" w:rsidSect="00C268E4">
      <w:pgSz w:w="11906" w:h="16838"/>
      <w:pgMar w:top="709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993380"/>
    <w:rsid w:val="00C268E4"/>
    <w:rsid w:val="00E52EE0"/>
    <w:rsid w:val="00F45385"/>
    <w:rsid w:val="00F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6D27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A3B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3B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asterec.cz/" TargetMode="External"/><Relationship Id="rId4" Type="http://schemas.openxmlformats.org/officeDocument/2006/relationships/hyperlink" Target="http://www.blizej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podatelna</cp:lastModifiedBy>
  <cp:revision>2</cp:revision>
  <dcterms:created xsi:type="dcterms:W3CDTF">2018-05-30T06:37:00Z</dcterms:created>
  <dcterms:modified xsi:type="dcterms:W3CDTF">2018-05-30T06:37:00Z</dcterms:modified>
</cp:coreProperties>
</file>